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A88DB1" w14:textId="617A9D3B" w:rsidR="00755EC9" w:rsidRPr="00146ECB" w:rsidRDefault="00755EC9" w:rsidP="00755EC9">
      <w:pPr>
        <w:rPr>
          <w:rFonts w:ascii="Verdana" w:hAnsi="Verdana"/>
          <w:b/>
          <w:sz w:val="20"/>
          <w:szCs w:val="20"/>
        </w:rPr>
      </w:pPr>
      <w:r w:rsidRPr="00146ECB">
        <w:rPr>
          <w:rFonts w:ascii="Verdana" w:hAnsi="Verdana"/>
          <w:b/>
          <w:sz w:val="20"/>
          <w:szCs w:val="20"/>
        </w:rPr>
        <w:t xml:space="preserve">Questions </w:t>
      </w:r>
      <w:r w:rsidR="00366986" w:rsidRPr="00146ECB">
        <w:rPr>
          <w:rFonts w:ascii="Verdana" w:hAnsi="Verdana"/>
          <w:b/>
          <w:sz w:val="20"/>
          <w:szCs w:val="20"/>
        </w:rPr>
        <w:t xml:space="preserve">and responses </w:t>
      </w:r>
      <w:r w:rsidRPr="00146ECB">
        <w:rPr>
          <w:rFonts w:ascii="Verdana" w:hAnsi="Verdana"/>
          <w:b/>
          <w:sz w:val="20"/>
          <w:szCs w:val="20"/>
        </w:rPr>
        <w:t xml:space="preserve">resulting from Chain </w:t>
      </w:r>
      <w:proofErr w:type="spellStart"/>
      <w:r w:rsidRPr="00146ECB">
        <w:rPr>
          <w:rFonts w:ascii="Verdana" w:hAnsi="Verdana"/>
          <w:b/>
          <w:sz w:val="20"/>
          <w:szCs w:val="20"/>
        </w:rPr>
        <w:t>Free’s</w:t>
      </w:r>
      <w:proofErr w:type="spellEnd"/>
      <w:r w:rsidRPr="00146ECB">
        <w:rPr>
          <w:rFonts w:ascii="Verdana" w:hAnsi="Verdana"/>
          <w:b/>
          <w:sz w:val="20"/>
          <w:szCs w:val="20"/>
        </w:rPr>
        <w:t xml:space="preserve"> presentation</w:t>
      </w:r>
      <w:r w:rsidR="00366986" w:rsidRPr="00146ECB">
        <w:rPr>
          <w:rFonts w:ascii="Verdana" w:hAnsi="Verdana"/>
          <w:b/>
          <w:sz w:val="20"/>
          <w:szCs w:val="20"/>
        </w:rPr>
        <w:t xml:space="preserve"> during the City Council workshop</w:t>
      </w:r>
      <w:r w:rsidRPr="00146ECB">
        <w:rPr>
          <w:rFonts w:ascii="Verdana" w:hAnsi="Verdana"/>
          <w:b/>
          <w:sz w:val="20"/>
          <w:szCs w:val="20"/>
        </w:rPr>
        <w:t>:</w:t>
      </w:r>
    </w:p>
    <w:p w14:paraId="5E50B9CF" w14:textId="77777777" w:rsidR="00755EC9" w:rsidRDefault="00755EC9" w:rsidP="00755EC9">
      <w:pPr>
        <w:rPr>
          <w:rFonts w:ascii="Verdana" w:hAnsi="Verdana"/>
          <w:sz w:val="20"/>
          <w:szCs w:val="20"/>
        </w:rPr>
      </w:pPr>
    </w:p>
    <w:p w14:paraId="59F51370" w14:textId="77777777" w:rsidR="00755EC9" w:rsidRDefault="00755EC9" w:rsidP="00755EC9">
      <w:pPr>
        <w:rPr>
          <w:rFonts w:ascii="Verdana" w:hAnsi="Verdana"/>
          <w:sz w:val="20"/>
          <w:szCs w:val="20"/>
        </w:rPr>
      </w:pPr>
      <w:r>
        <w:rPr>
          <w:rFonts w:ascii="Verdana" w:hAnsi="Verdana"/>
          <w:sz w:val="20"/>
          <w:szCs w:val="20"/>
        </w:rPr>
        <w:t xml:space="preserve">During the presentation it was stated that the USDA opposed tethering and stated it was not a humane practice. Here is a link to the revised stand for the USDA. </w:t>
      </w:r>
      <w:hyperlink r:id="rId8" w:history="1">
        <w:r>
          <w:rPr>
            <w:rStyle w:val="Hyperlink"/>
            <w:rFonts w:ascii="Verdana" w:hAnsi="Verdana"/>
            <w:sz w:val="20"/>
            <w:szCs w:val="20"/>
          </w:rPr>
          <w:t>https://naldc.nal.usda.gov/download/5238101/PDF</w:t>
        </w:r>
      </w:hyperlink>
      <w:r>
        <w:rPr>
          <w:rFonts w:ascii="Verdana" w:hAnsi="Verdana"/>
          <w:sz w:val="20"/>
          <w:szCs w:val="20"/>
        </w:rPr>
        <w:t>  “We did not intend to imply that tethering of dogs under all circumstances is inhumane, nor that tethering under any circumstances must be prohibited.”</w:t>
      </w:r>
    </w:p>
    <w:p w14:paraId="29F79657" w14:textId="77777777" w:rsidR="00755EC9" w:rsidRDefault="00755EC9" w:rsidP="00755EC9">
      <w:pPr>
        <w:rPr>
          <w:rFonts w:ascii="Verdana" w:hAnsi="Verdana"/>
          <w:sz w:val="20"/>
          <w:szCs w:val="20"/>
        </w:rPr>
      </w:pPr>
    </w:p>
    <w:p w14:paraId="1A4F5B9A" w14:textId="7FD28986" w:rsidR="00755EC9" w:rsidRDefault="00755EC9" w:rsidP="00755EC9">
      <w:pPr>
        <w:rPr>
          <w:rFonts w:ascii="Verdana" w:hAnsi="Verdana"/>
          <w:sz w:val="20"/>
          <w:szCs w:val="20"/>
        </w:rPr>
      </w:pPr>
      <w:r>
        <w:rPr>
          <w:rFonts w:ascii="Verdana" w:hAnsi="Verdana"/>
          <w:sz w:val="20"/>
          <w:szCs w:val="20"/>
        </w:rPr>
        <w:t>The AVMA does not have a statement on tethering</w:t>
      </w:r>
      <w:r w:rsidR="00366986">
        <w:rPr>
          <w:rFonts w:ascii="Verdana" w:hAnsi="Verdana"/>
          <w:sz w:val="20"/>
          <w:szCs w:val="20"/>
        </w:rPr>
        <w:t>,</w:t>
      </w:r>
      <w:r>
        <w:rPr>
          <w:rFonts w:ascii="Verdana" w:hAnsi="Verdana"/>
          <w:sz w:val="20"/>
          <w:szCs w:val="20"/>
        </w:rPr>
        <w:t xml:space="preserve"> and they have also removed the</w:t>
      </w:r>
      <w:r w:rsidR="00366986">
        <w:rPr>
          <w:rFonts w:ascii="Verdana" w:hAnsi="Verdana"/>
          <w:sz w:val="20"/>
          <w:szCs w:val="20"/>
        </w:rPr>
        <w:t xml:space="preserve"> statement</w:t>
      </w:r>
      <w:r w:rsidR="00366986" w:rsidRPr="00366986">
        <w:rPr>
          <w:rFonts w:ascii="Verdana" w:hAnsi="Verdana"/>
          <w:sz w:val="20"/>
          <w:szCs w:val="20"/>
        </w:rPr>
        <w:t xml:space="preserve"> </w:t>
      </w:r>
      <w:r w:rsidR="00366986">
        <w:rPr>
          <w:rFonts w:ascii="Verdana" w:hAnsi="Verdana"/>
          <w:sz w:val="20"/>
          <w:szCs w:val="20"/>
        </w:rPr>
        <w:t>from their dog bite section of the website:</w:t>
      </w:r>
      <w:r>
        <w:rPr>
          <w:rFonts w:ascii="Verdana" w:hAnsi="Verdana"/>
          <w:sz w:val="20"/>
          <w:szCs w:val="20"/>
        </w:rPr>
        <w:t xml:space="preserve"> “The AVMA advises dog guardians</w:t>
      </w:r>
      <w:r w:rsidR="00366986">
        <w:rPr>
          <w:rFonts w:ascii="Verdana" w:hAnsi="Verdana"/>
          <w:sz w:val="20"/>
          <w:szCs w:val="20"/>
        </w:rPr>
        <w:t>:</w:t>
      </w:r>
      <w:r>
        <w:rPr>
          <w:rFonts w:ascii="Verdana" w:hAnsi="Verdana"/>
          <w:sz w:val="20"/>
          <w:szCs w:val="20"/>
        </w:rPr>
        <w:t xml:space="preserve"> </w:t>
      </w:r>
      <w:r w:rsidR="00366986">
        <w:rPr>
          <w:rFonts w:ascii="Verdana" w:hAnsi="Verdana"/>
          <w:sz w:val="20"/>
          <w:szCs w:val="20"/>
        </w:rPr>
        <w:t>‘</w:t>
      </w:r>
      <w:r>
        <w:rPr>
          <w:rFonts w:ascii="Verdana" w:hAnsi="Verdana"/>
          <w:sz w:val="20"/>
          <w:szCs w:val="20"/>
        </w:rPr>
        <w:t>Never tether or chain your dog, because this can contribute to aggressive behavior</w:t>
      </w:r>
      <w:r w:rsidR="00366986">
        <w:rPr>
          <w:rFonts w:ascii="Verdana" w:hAnsi="Verdana"/>
          <w:sz w:val="20"/>
          <w:szCs w:val="20"/>
        </w:rPr>
        <w:t>.’”</w:t>
      </w:r>
      <w:r>
        <w:rPr>
          <w:rFonts w:ascii="Verdana" w:hAnsi="Verdana"/>
          <w:sz w:val="20"/>
          <w:szCs w:val="20"/>
        </w:rPr>
        <w:t xml:space="preserve"> </w:t>
      </w:r>
    </w:p>
    <w:p w14:paraId="7179EE2C" w14:textId="77777777" w:rsidR="00755EC9" w:rsidRDefault="00755EC9" w:rsidP="00755EC9">
      <w:pPr>
        <w:rPr>
          <w:rFonts w:ascii="Verdana" w:hAnsi="Verdana"/>
          <w:sz w:val="20"/>
          <w:szCs w:val="20"/>
        </w:rPr>
      </w:pPr>
    </w:p>
    <w:p w14:paraId="6DB2F5E8" w14:textId="77777777" w:rsidR="00755EC9" w:rsidRDefault="00755EC9" w:rsidP="00755EC9">
      <w:pPr>
        <w:rPr>
          <w:rFonts w:ascii="Verdana" w:hAnsi="Verdana"/>
          <w:sz w:val="20"/>
          <w:szCs w:val="20"/>
        </w:rPr>
      </w:pPr>
      <w:r>
        <w:rPr>
          <w:rFonts w:ascii="Verdana" w:hAnsi="Verdana"/>
          <w:sz w:val="20"/>
          <w:szCs w:val="20"/>
        </w:rPr>
        <w:t xml:space="preserve">The AKC has a position statement on tethering. </w:t>
      </w:r>
      <w:hyperlink r:id="rId9" w:history="1">
        <w:r>
          <w:rPr>
            <w:rStyle w:val="Hyperlink"/>
            <w:rFonts w:ascii="Verdana" w:hAnsi="Verdana"/>
            <w:sz w:val="20"/>
            <w:szCs w:val="20"/>
          </w:rPr>
          <w:t>https://www.akc.org/clubs-delegates/government-relations/government-relations-blogs/akc-adopts-new-position-statement-tethering/</w:t>
        </w:r>
      </w:hyperlink>
    </w:p>
    <w:p w14:paraId="0590C317" w14:textId="77777777" w:rsidR="00755EC9" w:rsidRDefault="00755EC9" w:rsidP="00755EC9">
      <w:pPr>
        <w:rPr>
          <w:rFonts w:ascii="Verdana" w:hAnsi="Verdana"/>
          <w:sz w:val="20"/>
          <w:szCs w:val="20"/>
        </w:rPr>
      </w:pPr>
    </w:p>
    <w:p w14:paraId="1D98FBEF" w14:textId="3EDC52F7" w:rsidR="00755EC9" w:rsidRDefault="00755EC9" w:rsidP="00755EC9">
      <w:pPr>
        <w:rPr>
          <w:rFonts w:ascii="Verdana" w:hAnsi="Verdana"/>
          <w:sz w:val="20"/>
          <w:szCs w:val="20"/>
        </w:rPr>
      </w:pPr>
      <w:r>
        <w:rPr>
          <w:rFonts w:ascii="Verdana" w:hAnsi="Verdana"/>
          <w:sz w:val="20"/>
          <w:szCs w:val="20"/>
        </w:rPr>
        <w:t>The alliance implied there were 24 states that regulated tethering similarly to what they have p</w:t>
      </w:r>
      <w:r w:rsidR="00C861E7">
        <w:rPr>
          <w:rFonts w:ascii="Verdana" w:hAnsi="Verdana"/>
          <w:sz w:val="20"/>
          <w:szCs w:val="20"/>
        </w:rPr>
        <w:t>ro</w:t>
      </w:r>
      <w:r>
        <w:rPr>
          <w:rFonts w:ascii="Verdana" w:hAnsi="Verdana"/>
          <w:sz w:val="20"/>
          <w:szCs w:val="20"/>
        </w:rPr>
        <w:t>posed. In reality</w:t>
      </w:r>
      <w:r w:rsidR="00C861E7">
        <w:rPr>
          <w:rFonts w:ascii="Verdana" w:hAnsi="Verdana"/>
          <w:sz w:val="20"/>
          <w:szCs w:val="20"/>
        </w:rPr>
        <w:t>,</w:t>
      </w:r>
      <w:r>
        <w:rPr>
          <w:rFonts w:ascii="Verdana" w:hAnsi="Verdana"/>
          <w:sz w:val="20"/>
          <w:szCs w:val="20"/>
        </w:rPr>
        <w:t xml:space="preserve"> the following </w:t>
      </w:r>
      <w:r w:rsidR="00C861E7">
        <w:rPr>
          <w:rFonts w:ascii="Verdana" w:hAnsi="Verdana"/>
          <w:sz w:val="20"/>
          <w:szCs w:val="20"/>
        </w:rPr>
        <w:t xml:space="preserve">is a </w:t>
      </w:r>
      <w:r>
        <w:rPr>
          <w:rFonts w:ascii="Verdana" w:hAnsi="Verdana"/>
          <w:sz w:val="20"/>
          <w:szCs w:val="20"/>
        </w:rPr>
        <w:t xml:space="preserve">breakdown of state laws. There are several states that have passed a standards law that does not use unenforceable measures such as no unattended tethering or time limits. Many are very similar to the bill </w:t>
      </w:r>
      <w:r w:rsidR="00C861E7">
        <w:rPr>
          <w:rFonts w:ascii="Verdana" w:hAnsi="Verdana"/>
          <w:sz w:val="20"/>
          <w:szCs w:val="20"/>
        </w:rPr>
        <w:t>that was presented in the state legislature last spring, which Chain Free Knoxville and the Knoxville Alliance supported</w:t>
      </w:r>
      <w:r>
        <w:rPr>
          <w:rFonts w:ascii="Verdana" w:hAnsi="Verdana"/>
          <w:sz w:val="20"/>
          <w:szCs w:val="20"/>
        </w:rPr>
        <w:t xml:space="preserve">. </w:t>
      </w:r>
    </w:p>
    <w:p w14:paraId="1105CA9B" w14:textId="77777777" w:rsidR="00755EC9" w:rsidRDefault="00755EC9" w:rsidP="00755EC9">
      <w:pPr>
        <w:pStyle w:val="ListParagraph"/>
        <w:numPr>
          <w:ilvl w:val="0"/>
          <w:numId w:val="1"/>
        </w:numPr>
        <w:rPr>
          <w:rFonts w:ascii="Verdana" w:eastAsia="Times New Roman" w:hAnsi="Verdana"/>
          <w:sz w:val="20"/>
          <w:szCs w:val="20"/>
        </w:rPr>
      </w:pPr>
      <w:r>
        <w:rPr>
          <w:rFonts w:ascii="Verdana" w:eastAsia="Times New Roman" w:hAnsi="Verdana"/>
          <w:sz w:val="20"/>
          <w:szCs w:val="20"/>
        </w:rPr>
        <w:t>“no inhumane tethering” or inside cruelty code with no standards: Tennessee, West Virginia, Maine, Vermont, Virginia, North Carolina, Michigan</w:t>
      </w:r>
    </w:p>
    <w:p w14:paraId="263A5A6D" w14:textId="77777777" w:rsidR="00755EC9" w:rsidRDefault="00755EC9" w:rsidP="00755EC9">
      <w:pPr>
        <w:pStyle w:val="ListParagraph"/>
        <w:numPr>
          <w:ilvl w:val="0"/>
          <w:numId w:val="1"/>
        </w:numPr>
        <w:rPr>
          <w:rFonts w:ascii="Verdana" w:eastAsia="Times New Roman" w:hAnsi="Verdana"/>
          <w:sz w:val="20"/>
          <w:szCs w:val="20"/>
        </w:rPr>
      </w:pPr>
      <w:r>
        <w:rPr>
          <w:rFonts w:ascii="Verdana" w:eastAsia="Times New Roman" w:hAnsi="Verdana"/>
          <w:sz w:val="20"/>
          <w:szCs w:val="20"/>
        </w:rPr>
        <w:t>Standards for outdoor dogs: Texas, Maryland, Indiana, Illinois, Louisiana, Washington, Connecticut, Hawaii</w:t>
      </w:r>
    </w:p>
    <w:p w14:paraId="27ABD154" w14:textId="77777777" w:rsidR="00755EC9" w:rsidRDefault="00755EC9" w:rsidP="00755EC9">
      <w:pPr>
        <w:pStyle w:val="ListParagraph"/>
        <w:numPr>
          <w:ilvl w:val="0"/>
          <w:numId w:val="1"/>
        </w:numPr>
        <w:rPr>
          <w:rFonts w:ascii="Verdana" w:eastAsia="Times New Roman" w:hAnsi="Verdana"/>
          <w:sz w:val="20"/>
          <w:szCs w:val="20"/>
        </w:rPr>
      </w:pPr>
      <w:r>
        <w:rPr>
          <w:rFonts w:ascii="Verdana" w:eastAsia="Times New Roman" w:hAnsi="Verdana"/>
          <w:sz w:val="20"/>
          <w:szCs w:val="20"/>
        </w:rPr>
        <w:t>Time limits - Mass., Rhode Island, New Jersey, Pennsylvania, Nevada, Oregon</w:t>
      </w:r>
    </w:p>
    <w:p w14:paraId="058A532B" w14:textId="77777777" w:rsidR="00755EC9" w:rsidRDefault="00755EC9" w:rsidP="00755EC9">
      <w:pPr>
        <w:pStyle w:val="ListParagraph"/>
        <w:numPr>
          <w:ilvl w:val="0"/>
          <w:numId w:val="1"/>
        </w:numPr>
        <w:rPr>
          <w:rFonts w:ascii="Verdana" w:eastAsia="Times New Roman" w:hAnsi="Verdana"/>
          <w:sz w:val="20"/>
          <w:szCs w:val="20"/>
        </w:rPr>
      </w:pPr>
      <w:r>
        <w:rPr>
          <w:rFonts w:ascii="Verdana" w:eastAsia="Times New Roman" w:hAnsi="Verdana"/>
          <w:sz w:val="20"/>
          <w:szCs w:val="20"/>
        </w:rPr>
        <w:t>Ban - California</w:t>
      </w:r>
    </w:p>
    <w:p w14:paraId="26A54F52" w14:textId="77777777" w:rsidR="00755EC9" w:rsidRDefault="00755EC9" w:rsidP="00755EC9">
      <w:pPr>
        <w:rPr>
          <w:rFonts w:ascii="Verdana" w:hAnsi="Verdana"/>
          <w:sz w:val="20"/>
          <w:szCs w:val="20"/>
        </w:rPr>
      </w:pPr>
      <w:bookmarkStart w:id="0" w:name="_GoBack"/>
      <w:bookmarkEnd w:id="0"/>
    </w:p>
    <w:p w14:paraId="2EE0C732" w14:textId="1465ABE9" w:rsidR="00755EC9" w:rsidRDefault="00755EC9" w:rsidP="00755EC9">
      <w:pPr>
        <w:rPr>
          <w:rFonts w:ascii="Verdana" w:hAnsi="Verdana"/>
          <w:b/>
          <w:bCs/>
          <w:sz w:val="20"/>
          <w:szCs w:val="20"/>
        </w:rPr>
      </w:pPr>
      <w:r>
        <w:rPr>
          <w:rFonts w:ascii="Verdana" w:hAnsi="Verdana"/>
          <w:b/>
          <w:bCs/>
          <w:sz w:val="20"/>
          <w:szCs w:val="20"/>
        </w:rPr>
        <w:t xml:space="preserve">Cities with ordinances mentioned: (Knoxville population </w:t>
      </w:r>
      <w:r w:rsidR="003B3B78">
        <w:rPr>
          <w:rFonts w:ascii="Verdana" w:hAnsi="Verdana"/>
          <w:b/>
          <w:bCs/>
          <w:sz w:val="20"/>
          <w:szCs w:val="20"/>
        </w:rPr>
        <w:t>–</w:t>
      </w:r>
      <w:r>
        <w:rPr>
          <w:rFonts w:ascii="Verdana" w:hAnsi="Verdana"/>
          <w:b/>
          <w:bCs/>
          <w:sz w:val="20"/>
          <w:szCs w:val="20"/>
        </w:rPr>
        <w:t xml:space="preserve"> 1</w:t>
      </w:r>
      <w:r w:rsidR="003B3B78">
        <w:rPr>
          <w:rFonts w:ascii="Verdana" w:hAnsi="Verdana"/>
          <w:b/>
          <w:bCs/>
          <w:sz w:val="20"/>
          <w:szCs w:val="20"/>
        </w:rPr>
        <w:t>92,648</w:t>
      </w:r>
      <w:r>
        <w:rPr>
          <w:rFonts w:ascii="Verdana" w:hAnsi="Verdana"/>
          <w:b/>
          <w:bCs/>
          <w:sz w:val="20"/>
          <w:szCs w:val="20"/>
        </w:rPr>
        <w:t xml:space="preserve">; 24% </w:t>
      </w:r>
      <w:r>
        <w:rPr>
          <w:rFonts w:ascii="Verdana" w:hAnsi="Verdana"/>
          <w:sz w:val="20"/>
          <w:szCs w:val="20"/>
        </w:rPr>
        <w:t>persons living in poverty</w:t>
      </w:r>
      <w:r>
        <w:rPr>
          <w:rFonts w:ascii="Verdana" w:hAnsi="Verdana"/>
          <w:b/>
          <w:bCs/>
          <w:sz w:val="20"/>
          <w:szCs w:val="20"/>
        </w:rPr>
        <w:t>)</w:t>
      </w:r>
    </w:p>
    <w:p w14:paraId="00468ACE" w14:textId="77777777" w:rsidR="00755EC9" w:rsidRDefault="00755EC9" w:rsidP="00755EC9">
      <w:pPr>
        <w:rPr>
          <w:rFonts w:ascii="Verdana" w:hAnsi="Verdana"/>
          <w:sz w:val="20"/>
          <w:szCs w:val="20"/>
        </w:rPr>
      </w:pPr>
      <w:r>
        <w:rPr>
          <w:rFonts w:ascii="Verdana" w:hAnsi="Verdana"/>
          <w:sz w:val="20"/>
          <w:szCs w:val="20"/>
        </w:rPr>
        <w:t xml:space="preserve">Greenville, SC - 69,648; </w:t>
      </w:r>
      <w:r>
        <w:rPr>
          <w:rFonts w:ascii="Verdana" w:hAnsi="Verdana"/>
          <w:b/>
          <w:bCs/>
          <w:sz w:val="20"/>
          <w:szCs w:val="20"/>
        </w:rPr>
        <w:t xml:space="preserve">12.1% </w:t>
      </w:r>
      <w:r>
        <w:rPr>
          <w:rFonts w:ascii="Verdana" w:hAnsi="Verdana"/>
          <w:sz w:val="20"/>
          <w:szCs w:val="20"/>
        </w:rPr>
        <w:t>persons living in poverty</w:t>
      </w:r>
    </w:p>
    <w:p w14:paraId="2D47B8CF" w14:textId="77777777" w:rsidR="00755EC9" w:rsidRDefault="00755EC9" w:rsidP="00755EC9">
      <w:pPr>
        <w:rPr>
          <w:rFonts w:ascii="Verdana" w:hAnsi="Verdana"/>
          <w:sz w:val="20"/>
          <w:szCs w:val="20"/>
        </w:rPr>
      </w:pPr>
      <w:r>
        <w:rPr>
          <w:rFonts w:ascii="Verdana" w:hAnsi="Verdana"/>
          <w:sz w:val="20"/>
          <w:szCs w:val="20"/>
        </w:rPr>
        <w:t xml:space="preserve">Sarasota, FL - 57,787; </w:t>
      </w:r>
      <w:r>
        <w:rPr>
          <w:rFonts w:ascii="Verdana" w:hAnsi="Verdana"/>
          <w:b/>
          <w:bCs/>
          <w:sz w:val="20"/>
          <w:szCs w:val="20"/>
        </w:rPr>
        <w:t xml:space="preserve">12.4% </w:t>
      </w:r>
      <w:r>
        <w:rPr>
          <w:rFonts w:ascii="Verdana" w:hAnsi="Verdana"/>
          <w:sz w:val="20"/>
          <w:szCs w:val="20"/>
        </w:rPr>
        <w:t>persons living in poverty</w:t>
      </w:r>
    </w:p>
    <w:p w14:paraId="3389AAFA" w14:textId="77777777" w:rsidR="00755EC9" w:rsidRDefault="00755EC9" w:rsidP="00755EC9">
      <w:pPr>
        <w:rPr>
          <w:rFonts w:ascii="Verdana" w:hAnsi="Verdana"/>
          <w:sz w:val="20"/>
          <w:szCs w:val="20"/>
        </w:rPr>
      </w:pPr>
      <w:r>
        <w:rPr>
          <w:rFonts w:ascii="Verdana" w:hAnsi="Verdana"/>
          <w:sz w:val="20"/>
          <w:szCs w:val="20"/>
        </w:rPr>
        <w:t xml:space="preserve">Asheville, NC - 92,328; </w:t>
      </w:r>
      <w:r>
        <w:rPr>
          <w:rFonts w:ascii="Verdana" w:hAnsi="Verdana"/>
          <w:b/>
          <w:bCs/>
          <w:sz w:val="20"/>
          <w:szCs w:val="20"/>
        </w:rPr>
        <w:t xml:space="preserve">13.3% </w:t>
      </w:r>
      <w:r>
        <w:rPr>
          <w:rFonts w:ascii="Verdana" w:hAnsi="Verdana"/>
          <w:sz w:val="20"/>
          <w:szCs w:val="20"/>
        </w:rPr>
        <w:t>persons living in poverty</w:t>
      </w:r>
    </w:p>
    <w:p w14:paraId="43710F83" w14:textId="77777777" w:rsidR="00755EC9" w:rsidRDefault="00755EC9" w:rsidP="00755EC9">
      <w:pPr>
        <w:rPr>
          <w:rFonts w:ascii="Verdana" w:hAnsi="Verdana"/>
          <w:sz w:val="20"/>
          <w:szCs w:val="20"/>
        </w:rPr>
      </w:pPr>
      <w:r>
        <w:rPr>
          <w:rFonts w:ascii="Verdana" w:hAnsi="Verdana"/>
          <w:sz w:val="20"/>
          <w:szCs w:val="20"/>
        </w:rPr>
        <w:t xml:space="preserve">Georgetown, SC - 8,884; </w:t>
      </w:r>
      <w:r>
        <w:rPr>
          <w:rFonts w:ascii="Verdana" w:hAnsi="Verdana"/>
          <w:b/>
          <w:bCs/>
          <w:sz w:val="20"/>
          <w:szCs w:val="20"/>
        </w:rPr>
        <w:t xml:space="preserve">15.1% </w:t>
      </w:r>
      <w:r>
        <w:rPr>
          <w:rFonts w:ascii="Verdana" w:hAnsi="Verdana"/>
          <w:sz w:val="20"/>
          <w:szCs w:val="20"/>
        </w:rPr>
        <w:t>persons living in poverty</w:t>
      </w:r>
    </w:p>
    <w:p w14:paraId="636CF47F" w14:textId="77777777" w:rsidR="00755EC9" w:rsidRDefault="00755EC9" w:rsidP="00755EC9">
      <w:pPr>
        <w:rPr>
          <w:rFonts w:ascii="Verdana" w:hAnsi="Verdana"/>
          <w:sz w:val="20"/>
          <w:szCs w:val="20"/>
        </w:rPr>
      </w:pPr>
      <w:r>
        <w:rPr>
          <w:rFonts w:ascii="Verdana" w:hAnsi="Verdana"/>
          <w:sz w:val="20"/>
          <w:szCs w:val="20"/>
        </w:rPr>
        <w:t xml:space="preserve">Huntsville, AL - 199,845; </w:t>
      </w:r>
      <w:r>
        <w:rPr>
          <w:rFonts w:ascii="Verdana" w:hAnsi="Verdana"/>
          <w:b/>
          <w:bCs/>
          <w:sz w:val="20"/>
          <w:szCs w:val="20"/>
        </w:rPr>
        <w:t xml:space="preserve">15.2% </w:t>
      </w:r>
      <w:r>
        <w:rPr>
          <w:rFonts w:ascii="Verdana" w:hAnsi="Verdana"/>
          <w:sz w:val="20"/>
          <w:szCs w:val="20"/>
        </w:rPr>
        <w:t>persons living in poverty</w:t>
      </w:r>
    </w:p>
    <w:p w14:paraId="65EC9928" w14:textId="77777777" w:rsidR="00755EC9" w:rsidRDefault="00755EC9" w:rsidP="00755EC9">
      <w:pPr>
        <w:rPr>
          <w:rFonts w:ascii="Verdana" w:hAnsi="Verdana"/>
          <w:sz w:val="20"/>
          <w:szCs w:val="20"/>
        </w:rPr>
      </w:pPr>
      <w:r>
        <w:rPr>
          <w:rFonts w:ascii="Verdana" w:hAnsi="Verdana"/>
          <w:sz w:val="20"/>
          <w:szCs w:val="20"/>
        </w:rPr>
        <w:t xml:space="preserve">Oak Ridge, TN - 29,124; </w:t>
      </w:r>
      <w:r>
        <w:rPr>
          <w:rFonts w:ascii="Verdana" w:hAnsi="Verdana"/>
          <w:b/>
          <w:bCs/>
          <w:sz w:val="20"/>
          <w:szCs w:val="20"/>
        </w:rPr>
        <w:t>15.6%</w:t>
      </w:r>
      <w:r>
        <w:rPr>
          <w:rFonts w:ascii="Verdana" w:hAnsi="Verdana"/>
          <w:sz w:val="20"/>
          <w:szCs w:val="20"/>
        </w:rPr>
        <w:t xml:space="preserve"> persons living in poverty</w:t>
      </w:r>
    </w:p>
    <w:p w14:paraId="40BC7863" w14:textId="77777777" w:rsidR="00755EC9" w:rsidRDefault="00755EC9" w:rsidP="00755EC9">
      <w:pPr>
        <w:rPr>
          <w:rFonts w:ascii="Verdana" w:hAnsi="Verdana"/>
          <w:sz w:val="20"/>
          <w:szCs w:val="20"/>
        </w:rPr>
      </w:pPr>
      <w:r>
        <w:rPr>
          <w:rFonts w:ascii="Verdana" w:hAnsi="Verdana"/>
          <w:sz w:val="20"/>
          <w:szCs w:val="20"/>
        </w:rPr>
        <w:t xml:space="preserve">Chattanooga, TN - 181,370; </w:t>
      </w:r>
      <w:r>
        <w:rPr>
          <w:rFonts w:ascii="Verdana" w:hAnsi="Verdana"/>
          <w:b/>
          <w:bCs/>
          <w:sz w:val="20"/>
          <w:szCs w:val="20"/>
        </w:rPr>
        <w:t>17.6%</w:t>
      </w:r>
      <w:r>
        <w:rPr>
          <w:rFonts w:ascii="Verdana" w:hAnsi="Verdana"/>
          <w:sz w:val="20"/>
          <w:szCs w:val="20"/>
        </w:rPr>
        <w:t xml:space="preserve"> persons living in poverty</w:t>
      </w:r>
    </w:p>
    <w:p w14:paraId="1963342D" w14:textId="77777777" w:rsidR="00755EC9" w:rsidRDefault="00755EC9" w:rsidP="00755EC9">
      <w:pPr>
        <w:rPr>
          <w:rFonts w:ascii="Verdana" w:hAnsi="Verdana"/>
          <w:sz w:val="20"/>
          <w:szCs w:val="20"/>
        </w:rPr>
      </w:pPr>
      <w:r>
        <w:rPr>
          <w:rFonts w:ascii="Verdana" w:hAnsi="Verdana"/>
          <w:sz w:val="20"/>
          <w:szCs w:val="20"/>
        </w:rPr>
        <w:t xml:space="preserve">Bristol, TN - 26,973; </w:t>
      </w:r>
      <w:r>
        <w:rPr>
          <w:rFonts w:ascii="Verdana" w:hAnsi="Verdana"/>
          <w:b/>
          <w:bCs/>
          <w:sz w:val="20"/>
          <w:szCs w:val="20"/>
        </w:rPr>
        <w:t>19.8%</w:t>
      </w:r>
      <w:r>
        <w:rPr>
          <w:rFonts w:ascii="Verdana" w:hAnsi="Verdana"/>
          <w:sz w:val="20"/>
          <w:szCs w:val="20"/>
        </w:rPr>
        <w:t xml:space="preserve"> persons living in poverty</w:t>
      </w:r>
    </w:p>
    <w:p w14:paraId="0DD55D65" w14:textId="77777777" w:rsidR="00755EC9" w:rsidRDefault="00755EC9" w:rsidP="00755EC9">
      <w:pPr>
        <w:rPr>
          <w:rFonts w:ascii="Verdana" w:hAnsi="Verdana"/>
          <w:sz w:val="20"/>
          <w:szCs w:val="20"/>
        </w:rPr>
      </w:pPr>
    </w:p>
    <w:p w14:paraId="4D6CA443" w14:textId="77777777" w:rsidR="00755EC9" w:rsidRDefault="00755EC9" w:rsidP="00755EC9">
      <w:pPr>
        <w:rPr>
          <w:rFonts w:ascii="Verdana" w:hAnsi="Verdana"/>
          <w:sz w:val="20"/>
          <w:szCs w:val="20"/>
        </w:rPr>
      </w:pPr>
      <w:r>
        <w:rPr>
          <w:rFonts w:ascii="Verdana" w:hAnsi="Verdana"/>
          <w:sz w:val="20"/>
          <w:szCs w:val="20"/>
        </w:rPr>
        <w:t>Johnson City, TN - 66,934; 21.1% persons living in poverty</w:t>
      </w:r>
    </w:p>
    <w:p w14:paraId="5BE67D7F" w14:textId="77777777" w:rsidR="00755EC9" w:rsidRDefault="00755EC9" w:rsidP="00755EC9">
      <w:pPr>
        <w:rPr>
          <w:rFonts w:ascii="Verdana" w:hAnsi="Verdana"/>
          <w:sz w:val="20"/>
          <w:szCs w:val="20"/>
        </w:rPr>
      </w:pPr>
      <w:r>
        <w:rPr>
          <w:rFonts w:ascii="Verdana" w:hAnsi="Verdana"/>
          <w:sz w:val="20"/>
          <w:szCs w:val="20"/>
        </w:rPr>
        <w:t>Augusta, GA - 197,535; 23.2% persons living in poverty</w:t>
      </w:r>
    </w:p>
    <w:p w14:paraId="34696534" w14:textId="77777777" w:rsidR="00755EC9" w:rsidRDefault="00755EC9" w:rsidP="00755EC9">
      <w:pPr>
        <w:rPr>
          <w:rFonts w:ascii="Verdana" w:hAnsi="Verdana"/>
          <w:sz w:val="20"/>
          <w:szCs w:val="20"/>
        </w:rPr>
      </w:pPr>
      <w:r>
        <w:rPr>
          <w:rFonts w:ascii="Verdana" w:hAnsi="Verdana"/>
          <w:sz w:val="20"/>
          <w:szCs w:val="20"/>
        </w:rPr>
        <w:t>Birmingham, AL - 210,928; 24.7% persons living in poverty</w:t>
      </w:r>
    </w:p>
    <w:p w14:paraId="4A5C3D3A" w14:textId="77777777" w:rsidR="00755EC9" w:rsidRDefault="00755EC9" w:rsidP="00755EC9">
      <w:pPr>
        <w:rPr>
          <w:rFonts w:ascii="Verdana" w:hAnsi="Verdana"/>
          <w:sz w:val="20"/>
          <w:szCs w:val="20"/>
        </w:rPr>
      </w:pPr>
    </w:p>
    <w:p w14:paraId="4FA5C2E5" w14:textId="2E5AEC20" w:rsidR="00755EC9" w:rsidRDefault="00755EC9" w:rsidP="00755EC9">
      <w:pPr>
        <w:rPr>
          <w:rFonts w:ascii="Verdana" w:hAnsi="Verdana"/>
          <w:sz w:val="20"/>
          <w:szCs w:val="20"/>
        </w:rPr>
      </w:pPr>
      <w:r>
        <w:rPr>
          <w:rFonts w:ascii="Verdana" w:hAnsi="Verdana"/>
          <w:sz w:val="20"/>
          <w:szCs w:val="20"/>
        </w:rPr>
        <w:t>Also</w:t>
      </w:r>
      <w:r w:rsidR="003E768B">
        <w:rPr>
          <w:rFonts w:ascii="Verdana" w:hAnsi="Verdana"/>
          <w:sz w:val="20"/>
          <w:szCs w:val="20"/>
        </w:rPr>
        <w:t>,</w:t>
      </w:r>
      <w:r>
        <w:rPr>
          <w:rFonts w:ascii="Verdana" w:hAnsi="Verdana"/>
          <w:sz w:val="20"/>
          <w:szCs w:val="20"/>
        </w:rPr>
        <w:t xml:space="preserve"> on the list was Nashville and Shelbyville – both have standards but no time restrictions or bans. </w:t>
      </w:r>
    </w:p>
    <w:p w14:paraId="2532A974" w14:textId="11B75EB1" w:rsidR="00755EC9" w:rsidRDefault="00755EC9" w:rsidP="00755EC9">
      <w:pPr>
        <w:rPr>
          <w:rFonts w:ascii="Verdana" w:hAnsi="Verdana"/>
          <w:sz w:val="20"/>
          <w:szCs w:val="20"/>
        </w:rPr>
      </w:pPr>
      <w:r>
        <w:rPr>
          <w:rFonts w:ascii="Verdana" w:hAnsi="Verdana"/>
          <w:sz w:val="20"/>
          <w:szCs w:val="20"/>
        </w:rPr>
        <w:t>The alliance implied Nashville bans tethering</w:t>
      </w:r>
      <w:r w:rsidR="00C861E7">
        <w:rPr>
          <w:rFonts w:ascii="Verdana" w:hAnsi="Verdana"/>
          <w:sz w:val="20"/>
          <w:szCs w:val="20"/>
        </w:rPr>
        <w:t>;</w:t>
      </w:r>
      <w:r>
        <w:rPr>
          <w:rFonts w:ascii="Verdana" w:hAnsi="Verdana"/>
          <w:sz w:val="20"/>
          <w:szCs w:val="20"/>
        </w:rPr>
        <w:t xml:space="preserve"> however</w:t>
      </w:r>
      <w:r w:rsidR="00C861E7">
        <w:rPr>
          <w:rFonts w:ascii="Verdana" w:hAnsi="Verdana"/>
          <w:sz w:val="20"/>
          <w:szCs w:val="20"/>
        </w:rPr>
        <w:t>,</w:t>
      </w:r>
      <w:r>
        <w:rPr>
          <w:rFonts w:ascii="Verdana" w:hAnsi="Verdana"/>
          <w:sz w:val="20"/>
          <w:szCs w:val="20"/>
        </w:rPr>
        <w:t xml:space="preserve"> this is incorrect. They have a standard that includes no heavy chains, access to food, water, shelter, and shade. See the cruelty section. </w:t>
      </w:r>
      <w:hyperlink r:id="rId10" w:history="1">
        <w:r>
          <w:rPr>
            <w:rStyle w:val="Hyperlink"/>
            <w:rFonts w:ascii="Verdana" w:hAnsi="Verdana"/>
            <w:sz w:val="20"/>
            <w:szCs w:val="20"/>
          </w:rPr>
          <w:t>https://library.municode.com/tn/metro_government_of_nashville_and_davidson_county/codes/code_of_ordinances?nodeId=CD_TIT8AN_CH8.04DO</w:t>
        </w:r>
      </w:hyperlink>
      <w:r>
        <w:rPr>
          <w:rFonts w:ascii="Verdana" w:hAnsi="Verdana"/>
          <w:sz w:val="20"/>
          <w:szCs w:val="20"/>
        </w:rPr>
        <w:t xml:space="preserve"> </w:t>
      </w:r>
    </w:p>
    <w:p w14:paraId="239B8DF3" w14:textId="77777777" w:rsidR="00755EC9" w:rsidRDefault="00755EC9" w:rsidP="00755EC9">
      <w:pPr>
        <w:rPr>
          <w:rFonts w:ascii="Verdana" w:hAnsi="Verdana"/>
          <w:sz w:val="20"/>
          <w:szCs w:val="20"/>
        </w:rPr>
      </w:pPr>
    </w:p>
    <w:p w14:paraId="21A16FB5" w14:textId="42B86E63" w:rsidR="00755EC9" w:rsidRDefault="00755EC9" w:rsidP="00755EC9">
      <w:pPr>
        <w:rPr>
          <w:rFonts w:ascii="Verdana" w:hAnsi="Verdana"/>
          <w:sz w:val="20"/>
          <w:szCs w:val="20"/>
        </w:rPr>
      </w:pPr>
      <w:r>
        <w:rPr>
          <w:rFonts w:ascii="Verdana" w:hAnsi="Verdana"/>
          <w:sz w:val="20"/>
          <w:szCs w:val="20"/>
        </w:rPr>
        <w:t>The alliance implied Shelbyville bans tethering; however</w:t>
      </w:r>
      <w:r w:rsidR="00C861E7">
        <w:rPr>
          <w:rFonts w:ascii="Verdana" w:hAnsi="Verdana"/>
          <w:sz w:val="20"/>
          <w:szCs w:val="20"/>
        </w:rPr>
        <w:t>,</w:t>
      </w:r>
      <w:r>
        <w:rPr>
          <w:rFonts w:ascii="Verdana" w:hAnsi="Verdana"/>
          <w:sz w:val="20"/>
          <w:szCs w:val="20"/>
        </w:rPr>
        <w:t xml:space="preserve"> this is incorrect. They have a standard that includes no fixed points, properly fitting collar, shelter, etc. </w:t>
      </w:r>
    </w:p>
    <w:p w14:paraId="494730B8" w14:textId="77777777" w:rsidR="00755EC9" w:rsidRDefault="00755EC9" w:rsidP="00755EC9">
      <w:pPr>
        <w:rPr>
          <w:rFonts w:ascii="Verdana" w:hAnsi="Verdana"/>
          <w:sz w:val="20"/>
          <w:szCs w:val="20"/>
        </w:rPr>
      </w:pPr>
    </w:p>
    <w:p w14:paraId="4B24E500" w14:textId="2F6953CD" w:rsidR="00755EC9" w:rsidRDefault="00755EC9" w:rsidP="00755EC9">
      <w:pPr>
        <w:rPr>
          <w:rFonts w:ascii="Verdana" w:hAnsi="Verdana"/>
          <w:sz w:val="20"/>
          <w:szCs w:val="20"/>
        </w:rPr>
      </w:pPr>
      <w:r w:rsidRPr="00C861E7">
        <w:rPr>
          <w:rFonts w:ascii="Verdana" w:hAnsi="Verdana"/>
          <w:sz w:val="20"/>
          <w:szCs w:val="20"/>
          <w:highlight w:val="yellow"/>
        </w:rPr>
        <w:t>In 1992 when some of the ban</w:t>
      </w:r>
      <w:r w:rsidR="00C861E7" w:rsidRPr="00C861E7">
        <w:rPr>
          <w:rFonts w:ascii="Verdana" w:hAnsi="Verdana"/>
          <w:sz w:val="20"/>
          <w:szCs w:val="20"/>
          <w:highlight w:val="yellow"/>
        </w:rPr>
        <w:t>s</w:t>
      </w:r>
      <w:r w:rsidRPr="00C861E7">
        <w:rPr>
          <w:rFonts w:ascii="Verdana" w:hAnsi="Verdana"/>
          <w:sz w:val="20"/>
          <w:szCs w:val="20"/>
          <w:highlight w:val="yellow"/>
        </w:rPr>
        <w:t xml:space="preserve"> began in cities and counties across the count</w:t>
      </w:r>
      <w:r w:rsidR="00C861E7" w:rsidRPr="00C861E7">
        <w:rPr>
          <w:rFonts w:ascii="Verdana" w:hAnsi="Verdana"/>
          <w:sz w:val="20"/>
          <w:szCs w:val="20"/>
          <w:highlight w:val="yellow"/>
        </w:rPr>
        <w:t>r</w:t>
      </w:r>
      <w:r w:rsidRPr="00C861E7">
        <w:rPr>
          <w:rFonts w:ascii="Verdana" w:hAnsi="Verdana"/>
          <w:sz w:val="20"/>
          <w:szCs w:val="20"/>
          <w:highlight w:val="yellow"/>
        </w:rPr>
        <w:t>y, we as a society were not evaluating the impact on underserved and historically marginalized communities. To infer that this is the right course of action because it has been happening for the past 30 years in other cities and counties is a flawed outlook. In 30 years, additional research and evaluation of these types of policies has changed the perception of impact on communities. Also, there is no way to speak to actual enforcement.</w:t>
      </w:r>
      <w:r>
        <w:rPr>
          <w:rFonts w:ascii="Verdana" w:hAnsi="Verdana"/>
          <w:sz w:val="20"/>
          <w:szCs w:val="20"/>
        </w:rPr>
        <w:t xml:space="preserve"> </w:t>
      </w:r>
    </w:p>
    <w:p w14:paraId="617208E4" w14:textId="77777777" w:rsidR="00755EC9" w:rsidRDefault="00755EC9" w:rsidP="00755EC9">
      <w:pPr>
        <w:rPr>
          <w:rFonts w:ascii="Verdana" w:hAnsi="Verdana"/>
          <w:sz w:val="20"/>
          <w:szCs w:val="20"/>
        </w:rPr>
      </w:pPr>
    </w:p>
    <w:p w14:paraId="6ECBEF23" w14:textId="4ECA9A56" w:rsidR="00755EC9" w:rsidRDefault="00755EC9" w:rsidP="00755EC9">
      <w:pPr>
        <w:rPr>
          <w:rFonts w:ascii="Verdana" w:hAnsi="Verdana"/>
          <w:sz w:val="20"/>
          <w:szCs w:val="20"/>
        </w:rPr>
      </w:pPr>
      <w:r>
        <w:rPr>
          <w:rFonts w:ascii="Verdana" w:hAnsi="Verdana"/>
          <w:sz w:val="20"/>
          <w:szCs w:val="20"/>
        </w:rPr>
        <w:t xml:space="preserve">Do communities with “no increase of surrenders” have resources for owners other than one organization providing fences? How do they know that the surrenders have not increased due to the ordinance? </w:t>
      </w:r>
      <w:bookmarkStart w:id="1" w:name="_Hlk123655274"/>
    </w:p>
    <w:bookmarkEnd w:id="1"/>
    <w:p w14:paraId="20A20987" w14:textId="039EF090" w:rsidR="00755EC9" w:rsidRDefault="00755EC9" w:rsidP="00755EC9">
      <w:pPr>
        <w:rPr>
          <w:rFonts w:ascii="Verdana" w:hAnsi="Verdana"/>
          <w:sz w:val="20"/>
          <w:szCs w:val="20"/>
        </w:rPr>
      </w:pPr>
    </w:p>
    <w:p w14:paraId="4C069359" w14:textId="018F4A30" w:rsidR="00146ECB" w:rsidRDefault="00BF55DF" w:rsidP="00146ECB">
      <w:pPr>
        <w:rPr>
          <w:rFonts w:ascii="Verdana" w:hAnsi="Verdana"/>
          <w:sz w:val="20"/>
          <w:szCs w:val="20"/>
        </w:rPr>
      </w:pPr>
      <w:r>
        <w:rPr>
          <w:rFonts w:ascii="Verdana" w:hAnsi="Verdana"/>
          <w:sz w:val="20"/>
          <w:szCs w:val="20"/>
        </w:rPr>
        <w:t>T</w:t>
      </w:r>
      <w:r w:rsidR="00146ECB">
        <w:rPr>
          <w:rFonts w:ascii="Verdana" w:hAnsi="Verdana"/>
          <w:sz w:val="20"/>
          <w:szCs w:val="20"/>
        </w:rPr>
        <w:t>he surveys conducted of other jurisdictions are limited to responses from animal service agencies/shelters/elected officials. There is</w:t>
      </w:r>
      <w:r>
        <w:rPr>
          <w:rFonts w:ascii="Verdana" w:hAnsi="Verdana"/>
          <w:sz w:val="20"/>
          <w:szCs w:val="20"/>
        </w:rPr>
        <w:t>,</w:t>
      </w:r>
      <w:r w:rsidR="00146ECB">
        <w:rPr>
          <w:rFonts w:ascii="Verdana" w:hAnsi="Verdana"/>
          <w:sz w:val="20"/>
          <w:szCs w:val="20"/>
        </w:rPr>
        <w:t xml:space="preserve"> once again</w:t>
      </w:r>
      <w:r>
        <w:rPr>
          <w:rFonts w:ascii="Verdana" w:hAnsi="Verdana"/>
          <w:sz w:val="20"/>
          <w:szCs w:val="20"/>
        </w:rPr>
        <w:t>,</w:t>
      </w:r>
      <w:r w:rsidR="00146ECB">
        <w:rPr>
          <w:rFonts w:ascii="Verdana" w:hAnsi="Verdana"/>
          <w:sz w:val="20"/>
          <w:szCs w:val="20"/>
        </w:rPr>
        <w:t xml:space="preserve"> no representation from the communit</w:t>
      </w:r>
      <w:r>
        <w:rPr>
          <w:rFonts w:ascii="Verdana" w:hAnsi="Verdana"/>
          <w:sz w:val="20"/>
          <w:szCs w:val="20"/>
        </w:rPr>
        <w:t>ies</w:t>
      </w:r>
      <w:r w:rsidR="00146ECB">
        <w:rPr>
          <w:rFonts w:ascii="Verdana" w:hAnsi="Verdana"/>
          <w:sz w:val="20"/>
          <w:szCs w:val="20"/>
        </w:rPr>
        <w:t xml:space="preserve"> directly impacted or on the receiving end of the ordinance. The perspectives, lived experiences and the collateral consequences of a punitive remedy (versus a resource</w:t>
      </w:r>
      <w:r>
        <w:rPr>
          <w:rFonts w:ascii="Verdana" w:hAnsi="Verdana"/>
          <w:sz w:val="20"/>
          <w:szCs w:val="20"/>
        </w:rPr>
        <w:t>-</w:t>
      </w:r>
      <w:r w:rsidR="00146ECB">
        <w:rPr>
          <w:rFonts w:ascii="Verdana" w:hAnsi="Verdana"/>
          <w:sz w:val="20"/>
          <w:szCs w:val="20"/>
        </w:rPr>
        <w:t>driven solution) on this audience should be part of what those in positions of power and decision</w:t>
      </w:r>
      <w:r>
        <w:rPr>
          <w:rFonts w:ascii="Verdana" w:hAnsi="Verdana"/>
          <w:sz w:val="20"/>
          <w:szCs w:val="20"/>
        </w:rPr>
        <w:t>-</w:t>
      </w:r>
      <w:r w:rsidR="00146ECB">
        <w:rPr>
          <w:rFonts w:ascii="Verdana" w:hAnsi="Verdana"/>
          <w:sz w:val="20"/>
          <w:szCs w:val="20"/>
        </w:rPr>
        <w:t xml:space="preserve">making take into consideration. </w:t>
      </w:r>
    </w:p>
    <w:p w14:paraId="037F770B" w14:textId="77777777" w:rsidR="00146ECB" w:rsidRDefault="00146ECB" w:rsidP="00755EC9">
      <w:pPr>
        <w:rPr>
          <w:rFonts w:ascii="Verdana" w:hAnsi="Verdana"/>
          <w:sz w:val="20"/>
          <w:szCs w:val="20"/>
        </w:rPr>
      </w:pPr>
    </w:p>
    <w:p w14:paraId="0354449B" w14:textId="77777777" w:rsidR="00755EC9" w:rsidRDefault="00755EC9" w:rsidP="00755EC9">
      <w:pPr>
        <w:rPr>
          <w:rFonts w:ascii="Verdana" w:hAnsi="Verdana"/>
          <w:sz w:val="20"/>
          <w:szCs w:val="20"/>
        </w:rPr>
      </w:pPr>
      <w:r>
        <w:rPr>
          <w:rFonts w:ascii="Verdana" w:hAnsi="Verdana"/>
          <w:sz w:val="20"/>
          <w:szCs w:val="20"/>
        </w:rPr>
        <w:t>Statement: The CDC found chained dogs were 2.8 times more likely to attack than dogs who were not tethered. –</w:t>
      </w:r>
      <w:r>
        <w:rPr>
          <w:rFonts w:ascii="Verdana" w:hAnsi="Verdana"/>
          <w:b/>
          <w:bCs/>
          <w:sz w:val="20"/>
          <w:szCs w:val="20"/>
        </w:rPr>
        <w:t xml:space="preserve"> Rebuttal.</w:t>
      </w:r>
      <w:r>
        <w:rPr>
          <w:rFonts w:ascii="Verdana" w:hAnsi="Verdana"/>
          <w:sz w:val="20"/>
          <w:szCs w:val="20"/>
        </w:rPr>
        <w:t xml:space="preserve"> This was a 1994 study and the statement </w:t>
      </w:r>
      <w:proofErr w:type="gramStart"/>
      <w:r>
        <w:rPr>
          <w:rFonts w:ascii="Verdana" w:hAnsi="Verdana"/>
          <w:sz w:val="20"/>
          <w:szCs w:val="20"/>
        </w:rPr>
        <w:t>is</w:t>
      </w:r>
      <w:proofErr w:type="gramEnd"/>
      <w:r>
        <w:rPr>
          <w:rFonts w:ascii="Verdana" w:hAnsi="Verdana"/>
          <w:sz w:val="20"/>
          <w:szCs w:val="20"/>
        </w:rPr>
        <w:t xml:space="preserve"> on a PETA factsheet with no reference to the original study. In 1997 CDC published a report that stated</w:t>
      </w:r>
      <w:r>
        <w:t xml:space="preserve"> “</w:t>
      </w:r>
      <w:r>
        <w:rPr>
          <w:rFonts w:ascii="Verdana" w:hAnsi="Verdana"/>
          <w:sz w:val="20"/>
          <w:szCs w:val="20"/>
        </w:rPr>
        <w:t xml:space="preserve">During 1979-1996, 30% of Dog Bite Related Fatalities resulted from groups of owned dogs that were free roaming off the owner's property.” </w:t>
      </w:r>
      <w:hyperlink r:id="rId11" w:history="1">
        <w:r>
          <w:rPr>
            <w:rStyle w:val="Hyperlink"/>
            <w:rFonts w:ascii="Verdana" w:hAnsi="Verdana"/>
            <w:sz w:val="20"/>
            <w:szCs w:val="20"/>
          </w:rPr>
          <w:t>https://www.cdc.gov/mmwr/preview/mmwrhtml/00047723.htm</w:t>
        </w:r>
      </w:hyperlink>
    </w:p>
    <w:p w14:paraId="5CEB805F" w14:textId="77777777" w:rsidR="00755EC9" w:rsidRDefault="00755EC9" w:rsidP="00755EC9">
      <w:pPr>
        <w:rPr>
          <w:rFonts w:ascii="Verdana" w:hAnsi="Verdana"/>
          <w:sz w:val="20"/>
          <w:szCs w:val="20"/>
        </w:rPr>
      </w:pPr>
    </w:p>
    <w:p w14:paraId="51A8AA6E" w14:textId="75EDEF08" w:rsidR="00755EC9" w:rsidRDefault="00755EC9" w:rsidP="00755EC9">
      <w:pPr>
        <w:rPr>
          <w:rFonts w:ascii="Verdana" w:hAnsi="Verdana"/>
          <w:sz w:val="20"/>
          <w:szCs w:val="20"/>
        </w:rPr>
      </w:pPr>
      <w:r>
        <w:rPr>
          <w:rFonts w:ascii="Verdana" w:hAnsi="Verdana"/>
          <w:sz w:val="20"/>
          <w:szCs w:val="20"/>
        </w:rPr>
        <w:t xml:space="preserve">Statement: only 1% of households will be affected. - </w:t>
      </w:r>
      <w:r>
        <w:rPr>
          <w:rFonts w:ascii="Verdana" w:hAnsi="Verdana"/>
          <w:b/>
          <w:bCs/>
          <w:sz w:val="20"/>
          <w:szCs w:val="20"/>
        </w:rPr>
        <w:t>Rebuttal.</w:t>
      </w:r>
      <w:r>
        <w:rPr>
          <w:rFonts w:ascii="Verdana" w:hAnsi="Verdana"/>
          <w:sz w:val="20"/>
          <w:szCs w:val="20"/>
        </w:rPr>
        <w:t xml:space="preserve"> This is again based on where calls are coming from. </w:t>
      </w:r>
      <w:r w:rsidR="003E768B">
        <w:rPr>
          <w:rFonts w:ascii="Verdana" w:hAnsi="Verdana"/>
          <w:sz w:val="20"/>
          <w:szCs w:val="20"/>
        </w:rPr>
        <w:t xml:space="preserve">The assumption is </w:t>
      </w:r>
      <w:r>
        <w:rPr>
          <w:rFonts w:ascii="Verdana" w:hAnsi="Verdana"/>
          <w:sz w:val="20"/>
          <w:szCs w:val="20"/>
        </w:rPr>
        <w:t xml:space="preserve">in neighborhoods where there are no calls, there are no chained dogs. This is a fallacy in data. These call areas could be rapidly growing with </w:t>
      </w:r>
      <w:proofErr w:type="gramStart"/>
      <w:r>
        <w:rPr>
          <w:rFonts w:ascii="Verdana" w:hAnsi="Verdana"/>
          <w:sz w:val="20"/>
          <w:szCs w:val="20"/>
        </w:rPr>
        <w:t>more higher</w:t>
      </w:r>
      <w:proofErr w:type="gramEnd"/>
      <w:r w:rsidR="00C861E7">
        <w:rPr>
          <w:rFonts w:ascii="Verdana" w:hAnsi="Verdana"/>
          <w:sz w:val="20"/>
          <w:szCs w:val="20"/>
        </w:rPr>
        <w:t>-</w:t>
      </w:r>
      <w:r>
        <w:rPr>
          <w:rFonts w:ascii="Verdana" w:hAnsi="Verdana"/>
          <w:sz w:val="20"/>
          <w:szCs w:val="20"/>
        </w:rPr>
        <w:t xml:space="preserve">income people moving in around an area that has been historically low income. We see in other growing communities that there are a lot of complaints from new residents on the people who have lived in those communities for generations (there is even research on call volume increasing in gentrified areas for non-animal welfare complaints. </w:t>
      </w:r>
      <w:hyperlink r:id="rId12" w:history="1">
        <w:r>
          <w:rPr>
            <w:rStyle w:val="Hyperlink"/>
            <w:rFonts w:ascii="Verdana" w:hAnsi="Verdana"/>
            <w:sz w:val="20"/>
            <w:szCs w:val="20"/>
          </w:rPr>
          <w:t>https://www.theatlantic.com/politics/archive/2017/12/the-criminalization-of-gentrifying-neighborhoods/548837/</w:t>
        </w:r>
      </w:hyperlink>
      <w:r>
        <w:rPr>
          <w:rFonts w:ascii="Verdana" w:hAnsi="Verdana"/>
          <w:sz w:val="20"/>
          <w:szCs w:val="20"/>
        </w:rPr>
        <w:t>). </w:t>
      </w:r>
    </w:p>
    <w:p w14:paraId="4E9F29B5" w14:textId="77777777" w:rsidR="00755EC9" w:rsidRDefault="00755EC9" w:rsidP="00755EC9">
      <w:pPr>
        <w:rPr>
          <w:rFonts w:ascii="Verdana" w:hAnsi="Verdana"/>
          <w:sz w:val="20"/>
          <w:szCs w:val="20"/>
        </w:rPr>
      </w:pPr>
    </w:p>
    <w:p w14:paraId="4B0FE63C" w14:textId="14DD308B" w:rsidR="00755EC9" w:rsidRDefault="00755EC9" w:rsidP="00755EC9">
      <w:pPr>
        <w:rPr>
          <w:rFonts w:ascii="Verdana" w:hAnsi="Verdana"/>
          <w:sz w:val="20"/>
          <w:szCs w:val="20"/>
        </w:rPr>
      </w:pPr>
      <w:r>
        <w:rPr>
          <w:rFonts w:ascii="Verdana" w:hAnsi="Verdana"/>
          <w:sz w:val="20"/>
          <w:szCs w:val="20"/>
        </w:rPr>
        <w:t>Statement: 45% calls not in low</w:t>
      </w:r>
      <w:r w:rsidR="00C861E7">
        <w:rPr>
          <w:rFonts w:ascii="Verdana" w:hAnsi="Verdana"/>
          <w:sz w:val="20"/>
          <w:szCs w:val="20"/>
        </w:rPr>
        <w:t>-</w:t>
      </w:r>
      <w:r>
        <w:rPr>
          <w:rFonts w:ascii="Verdana" w:hAnsi="Verdana"/>
          <w:sz w:val="20"/>
          <w:szCs w:val="20"/>
        </w:rPr>
        <w:t xml:space="preserve">income areas. – </w:t>
      </w:r>
      <w:r>
        <w:rPr>
          <w:rFonts w:ascii="Verdana" w:hAnsi="Verdana"/>
          <w:b/>
          <w:bCs/>
          <w:sz w:val="20"/>
          <w:szCs w:val="20"/>
        </w:rPr>
        <w:t>Rebuttal.</w:t>
      </w:r>
      <w:r>
        <w:rPr>
          <w:rFonts w:ascii="Verdana" w:hAnsi="Verdana"/>
          <w:sz w:val="20"/>
          <w:szCs w:val="20"/>
        </w:rPr>
        <w:t xml:space="preserve"> We have heat maps and income maps proving otherwise.  </w:t>
      </w:r>
    </w:p>
    <w:p w14:paraId="3C0071B3" w14:textId="77777777" w:rsidR="00755EC9" w:rsidRDefault="00755EC9" w:rsidP="00755EC9">
      <w:pPr>
        <w:rPr>
          <w:rFonts w:ascii="Verdana" w:hAnsi="Verdana"/>
          <w:sz w:val="20"/>
          <w:szCs w:val="20"/>
        </w:rPr>
      </w:pPr>
    </w:p>
    <w:p w14:paraId="7816BB10" w14:textId="4D8FA8C9" w:rsidR="00755EC9" w:rsidRDefault="00755EC9" w:rsidP="00755EC9">
      <w:pPr>
        <w:rPr>
          <w:rFonts w:ascii="Verdana" w:hAnsi="Verdana"/>
          <w:sz w:val="20"/>
          <w:szCs w:val="20"/>
        </w:rPr>
      </w:pPr>
      <w:r>
        <w:rPr>
          <w:rFonts w:ascii="Verdana" w:hAnsi="Verdana"/>
          <w:sz w:val="20"/>
          <w:szCs w:val="20"/>
        </w:rPr>
        <w:t>Statement: Chain</w:t>
      </w:r>
      <w:r w:rsidR="003E768B">
        <w:rPr>
          <w:rFonts w:ascii="Verdana" w:hAnsi="Verdana"/>
          <w:sz w:val="20"/>
          <w:szCs w:val="20"/>
        </w:rPr>
        <w:t xml:space="preserve"> </w:t>
      </w:r>
      <w:r>
        <w:rPr>
          <w:rFonts w:ascii="Verdana" w:hAnsi="Verdana"/>
          <w:sz w:val="20"/>
          <w:szCs w:val="20"/>
        </w:rPr>
        <w:t>Free will build fences for those who need them. Fences only cost $300 to build. You can have a dog in apartments. Resources to make sure animals are well</w:t>
      </w:r>
      <w:r w:rsidR="00C861E7">
        <w:rPr>
          <w:rFonts w:ascii="Verdana" w:hAnsi="Verdana"/>
          <w:sz w:val="20"/>
          <w:szCs w:val="20"/>
        </w:rPr>
        <w:t>-</w:t>
      </w:r>
      <w:r>
        <w:rPr>
          <w:rFonts w:ascii="Verdana" w:hAnsi="Verdana"/>
          <w:sz w:val="20"/>
          <w:szCs w:val="20"/>
        </w:rPr>
        <w:t xml:space="preserve">behaved members of the family. </w:t>
      </w:r>
      <w:r>
        <w:rPr>
          <w:rFonts w:ascii="Verdana" w:hAnsi="Verdana"/>
          <w:b/>
          <w:bCs/>
          <w:sz w:val="20"/>
          <w:szCs w:val="20"/>
        </w:rPr>
        <w:t xml:space="preserve">Rebuttal. </w:t>
      </w:r>
      <w:r>
        <w:rPr>
          <w:rFonts w:ascii="Verdana" w:hAnsi="Verdana"/>
          <w:sz w:val="20"/>
          <w:szCs w:val="20"/>
        </w:rPr>
        <w:t xml:space="preserve">How long will this take to build enough fences? </w:t>
      </w:r>
    </w:p>
    <w:p w14:paraId="1B134941" w14:textId="1B4B152B" w:rsidR="00755EC9" w:rsidRDefault="00755EC9" w:rsidP="00755EC9">
      <w:pPr>
        <w:rPr>
          <w:rFonts w:ascii="Verdana" w:hAnsi="Verdana"/>
          <w:sz w:val="20"/>
          <w:szCs w:val="20"/>
        </w:rPr>
      </w:pPr>
      <w:r>
        <w:rPr>
          <w:rFonts w:ascii="Verdana" w:hAnsi="Verdana"/>
          <w:sz w:val="20"/>
          <w:szCs w:val="20"/>
        </w:rPr>
        <w:t>Even though $300 doesn’t seem like much to those on the board, council</w:t>
      </w:r>
      <w:r w:rsidR="00C861E7">
        <w:rPr>
          <w:rFonts w:ascii="Verdana" w:hAnsi="Verdana"/>
          <w:sz w:val="20"/>
          <w:szCs w:val="20"/>
        </w:rPr>
        <w:t xml:space="preserve"> or</w:t>
      </w:r>
      <w:r>
        <w:rPr>
          <w:rFonts w:ascii="Verdana" w:hAnsi="Verdana"/>
          <w:sz w:val="20"/>
          <w:szCs w:val="20"/>
        </w:rPr>
        <w:t xml:space="preserve"> as part of Chain</w:t>
      </w:r>
      <w:r w:rsidR="003E768B">
        <w:rPr>
          <w:rFonts w:ascii="Verdana" w:hAnsi="Verdana"/>
          <w:sz w:val="20"/>
          <w:szCs w:val="20"/>
        </w:rPr>
        <w:t xml:space="preserve"> </w:t>
      </w:r>
      <w:r>
        <w:rPr>
          <w:rFonts w:ascii="Verdana" w:hAnsi="Verdana"/>
          <w:sz w:val="20"/>
          <w:szCs w:val="20"/>
        </w:rPr>
        <w:t>Free, $300 could be someone’s income for the week. With inflation on the rise</w:t>
      </w:r>
      <w:r w:rsidR="00C861E7">
        <w:rPr>
          <w:rFonts w:ascii="Verdana" w:hAnsi="Verdana"/>
          <w:sz w:val="20"/>
          <w:szCs w:val="20"/>
        </w:rPr>
        <w:t>,</w:t>
      </w:r>
      <w:r>
        <w:rPr>
          <w:rFonts w:ascii="Verdana" w:hAnsi="Verdana"/>
          <w:sz w:val="20"/>
          <w:szCs w:val="20"/>
        </w:rPr>
        <w:t xml:space="preserve"> the dollar does not go as far</w:t>
      </w:r>
      <w:r w:rsidR="00C861E7">
        <w:rPr>
          <w:rFonts w:ascii="Verdana" w:hAnsi="Verdana"/>
          <w:sz w:val="20"/>
          <w:szCs w:val="20"/>
        </w:rPr>
        <w:t>,</w:t>
      </w:r>
      <w:r>
        <w:rPr>
          <w:rFonts w:ascii="Verdana" w:hAnsi="Verdana"/>
          <w:sz w:val="20"/>
          <w:szCs w:val="20"/>
        </w:rPr>
        <w:t xml:space="preserve"> and for some living in poverty</w:t>
      </w:r>
      <w:r w:rsidR="00C861E7">
        <w:rPr>
          <w:rFonts w:ascii="Verdana" w:hAnsi="Verdana"/>
          <w:sz w:val="20"/>
          <w:szCs w:val="20"/>
        </w:rPr>
        <w:t>,</w:t>
      </w:r>
      <w:r>
        <w:rPr>
          <w:rFonts w:ascii="Verdana" w:hAnsi="Verdana"/>
          <w:sz w:val="20"/>
          <w:szCs w:val="20"/>
        </w:rPr>
        <w:t xml:space="preserve"> $300 may as well be $3,000. If you don’t have the dispensable income</w:t>
      </w:r>
      <w:r w:rsidR="00C861E7">
        <w:rPr>
          <w:rFonts w:ascii="Verdana" w:hAnsi="Verdana"/>
          <w:sz w:val="20"/>
          <w:szCs w:val="20"/>
        </w:rPr>
        <w:t>,</w:t>
      </w:r>
      <w:r>
        <w:rPr>
          <w:rFonts w:ascii="Verdana" w:hAnsi="Verdana"/>
          <w:sz w:val="20"/>
          <w:szCs w:val="20"/>
        </w:rPr>
        <w:t xml:space="preserve"> it does not matter what others see as ‘affordable</w:t>
      </w:r>
      <w:r w:rsidR="00C861E7">
        <w:rPr>
          <w:rFonts w:ascii="Verdana" w:hAnsi="Verdana"/>
          <w:sz w:val="20"/>
          <w:szCs w:val="20"/>
        </w:rPr>
        <w:t>.</w:t>
      </w:r>
      <w:r>
        <w:rPr>
          <w:rFonts w:ascii="Verdana" w:hAnsi="Verdana"/>
          <w:sz w:val="20"/>
          <w:szCs w:val="20"/>
        </w:rPr>
        <w:t>’  </w:t>
      </w:r>
    </w:p>
    <w:p w14:paraId="4DEE0094" w14:textId="60580E89" w:rsidR="00755EC9" w:rsidRDefault="00755EC9" w:rsidP="00755EC9">
      <w:pPr>
        <w:rPr>
          <w:rFonts w:ascii="Verdana" w:hAnsi="Verdana"/>
          <w:sz w:val="20"/>
          <w:szCs w:val="20"/>
        </w:rPr>
      </w:pPr>
      <w:r>
        <w:rPr>
          <w:rFonts w:ascii="Verdana" w:hAnsi="Verdana"/>
          <w:sz w:val="20"/>
          <w:szCs w:val="20"/>
        </w:rPr>
        <w:t>This has no impact on tethering. Those who live in apartments already do not tether. Also, to say that ‘dogs can live in apartments’ disregards that not all rental properties are pet</w:t>
      </w:r>
      <w:r w:rsidR="00C861E7">
        <w:rPr>
          <w:rFonts w:ascii="Verdana" w:hAnsi="Verdana"/>
          <w:sz w:val="20"/>
          <w:szCs w:val="20"/>
        </w:rPr>
        <w:t>-</w:t>
      </w:r>
      <w:r>
        <w:rPr>
          <w:rFonts w:ascii="Verdana" w:hAnsi="Verdana"/>
          <w:sz w:val="20"/>
          <w:szCs w:val="20"/>
        </w:rPr>
        <w:t>friendly</w:t>
      </w:r>
      <w:r w:rsidR="00C861E7">
        <w:rPr>
          <w:rFonts w:ascii="Verdana" w:hAnsi="Verdana"/>
          <w:sz w:val="20"/>
          <w:szCs w:val="20"/>
        </w:rPr>
        <w:t xml:space="preserve"> and that a</w:t>
      </w:r>
      <w:r>
        <w:rPr>
          <w:rFonts w:ascii="Verdana" w:hAnsi="Verdana"/>
          <w:sz w:val="20"/>
          <w:szCs w:val="20"/>
        </w:rPr>
        <w:t xml:space="preserve">dditionally, </w:t>
      </w:r>
      <w:r w:rsidR="00C861E7">
        <w:rPr>
          <w:rFonts w:ascii="Verdana" w:hAnsi="Verdana"/>
          <w:sz w:val="20"/>
          <w:szCs w:val="20"/>
        </w:rPr>
        <w:t>many</w:t>
      </w:r>
      <w:r>
        <w:rPr>
          <w:rFonts w:ascii="Verdana" w:hAnsi="Verdana"/>
          <w:sz w:val="20"/>
          <w:szCs w:val="20"/>
        </w:rPr>
        <w:t xml:space="preserve"> have size, breed or number restrictions. Many </w:t>
      </w:r>
      <w:r w:rsidR="00C861E7">
        <w:rPr>
          <w:rFonts w:ascii="Verdana" w:hAnsi="Verdana"/>
          <w:sz w:val="20"/>
          <w:szCs w:val="20"/>
        </w:rPr>
        <w:t xml:space="preserve">also </w:t>
      </w:r>
      <w:r>
        <w:rPr>
          <w:rFonts w:ascii="Verdana" w:hAnsi="Verdana"/>
          <w:sz w:val="20"/>
          <w:szCs w:val="20"/>
        </w:rPr>
        <w:t>have fees associated with owning a dog</w:t>
      </w:r>
      <w:r w:rsidR="00C861E7">
        <w:rPr>
          <w:rFonts w:ascii="Verdana" w:hAnsi="Verdana"/>
          <w:sz w:val="20"/>
          <w:szCs w:val="20"/>
        </w:rPr>
        <w:t>,</w:t>
      </w:r>
      <w:r>
        <w:rPr>
          <w:rFonts w:ascii="Verdana" w:hAnsi="Verdana"/>
          <w:sz w:val="20"/>
          <w:szCs w:val="20"/>
        </w:rPr>
        <w:t xml:space="preserve"> and other</w:t>
      </w:r>
      <w:r w:rsidR="00C861E7">
        <w:rPr>
          <w:rFonts w:ascii="Verdana" w:hAnsi="Verdana"/>
          <w:sz w:val="20"/>
          <w:szCs w:val="20"/>
        </w:rPr>
        <w:t>s</w:t>
      </w:r>
      <w:r>
        <w:rPr>
          <w:rFonts w:ascii="Verdana" w:hAnsi="Verdana"/>
          <w:sz w:val="20"/>
          <w:szCs w:val="20"/>
        </w:rPr>
        <w:t xml:space="preserve"> do not allow the animal to live inside. </w:t>
      </w:r>
    </w:p>
    <w:p w14:paraId="3E990FEC" w14:textId="4822CFB2" w:rsidR="00755EC9" w:rsidRDefault="00755EC9" w:rsidP="00755EC9">
      <w:pPr>
        <w:rPr>
          <w:rFonts w:ascii="Verdana" w:hAnsi="Verdana"/>
          <w:sz w:val="20"/>
          <w:szCs w:val="20"/>
        </w:rPr>
      </w:pPr>
      <w:r>
        <w:rPr>
          <w:rFonts w:ascii="Verdana" w:hAnsi="Verdana"/>
          <w:sz w:val="20"/>
          <w:szCs w:val="20"/>
        </w:rPr>
        <w:t>To assume all dogs who live outdoors are not love</w:t>
      </w:r>
      <w:r w:rsidR="00C861E7">
        <w:rPr>
          <w:rFonts w:ascii="Verdana" w:hAnsi="Verdana"/>
          <w:sz w:val="20"/>
          <w:szCs w:val="20"/>
        </w:rPr>
        <w:t>d</w:t>
      </w:r>
      <w:r>
        <w:rPr>
          <w:rFonts w:ascii="Verdana" w:hAnsi="Verdana"/>
          <w:sz w:val="20"/>
          <w:szCs w:val="20"/>
        </w:rPr>
        <w:t>, socialized or ‘well</w:t>
      </w:r>
      <w:r w:rsidR="00C861E7">
        <w:rPr>
          <w:rFonts w:ascii="Verdana" w:hAnsi="Verdana"/>
          <w:sz w:val="20"/>
          <w:szCs w:val="20"/>
        </w:rPr>
        <w:t>-</w:t>
      </w:r>
      <w:r>
        <w:rPr>
          <w:rFonts w:ascii="Verdana" w:hAnsi="Verdana"/>
          <w:sz w:val="20"/>
          <w:szCs w:val="20"/>
        </w:rPr>
        <w:t xml:space="preserve">behaved members of the family’ is a fallacy of presumption about those who own dogs who live outdoors. </w:t>
      </w:r>
    </w:p>
    <w:p w14:paraId="1104A8A1" w14:textId="77777777" w:rsidR="00755EC9" w:rsidRDefault="00755EC9" w:rsidP="00755EC9">
      <w:pPr>
        <w:rPr>
          <w:rFonts w:ascii="Verdana" w:hAnsi="Verdana"/>
          <w:sz w:val="20"/>
          <w:szCs w:val="20"/>
        </w:rPr>
      </w:pPr>
    </w:p>
    <w:p w14:paraId="1D51B5FD" w14:textId="77777777" w:rsidR="00B72212" w:rsidRDefault="003B3B78"/>
    <w:sectPr w:rsidR="00B72212" w:rsidSect="003E768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0C3629"/>
    <w:multiLevelType w:val="hybridMultilevel"/>
    <w:tmpl w:val="119E37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EC9"/>
    <w:rsid w:val="00146ECB"/>
    <w:rsid w:val="00366986"/>
    <w:rsid w:val="003B3B78"/>
    <w:rsid w:val="003E768B"/>
    <w:rsid w:val="00402EBB"/>
    <w:rsid w:val="004524BE"/>
    <w:rsid w:val="00755EC9"/>
    <w:rsid w:val="00BF55DF"/>
    <w:rsid w:val="00C861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FD8D7"/>
  <w15:chartTrackingRefBased/>
  <w15:docId w15:val="{40700C13-6489-418D-A502-9213BC9D7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55EC9"/>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55EC9"/>
    <w:rPr>
      <w:color w:val="0563C1"/>
      <w:u w:val="single"/>
    </w:rPr>
  </w:style>
  <w:style w:type="paragraph" w:styleId="ListParagraph">
    <w:name w:val="List Paragraph"/>
    <w:basedOn w:val="Normal"/>
    <w:uiPriority w:val="34"/>
    <w:qFormat/>
    <w:rsid w:val="00755EC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2385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ldc.nal.usda.gov/download/5238101/PDF"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heatlantic.com/politics/archive/2017/12/the-criminalization-of-gentrifying-neighborhoods/548837/"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dc.gov/mmwr/preview/mmwrhtml/00047723.htm" TargetMode="External"/><Relationship Id="rId5" Type="http://schemas.openxmlformats.org/officeDocument/2006/relationships/styles" Target="styles.xml"/><Relationship Id="rId10" Type="http://schemas.openxmlformats.org/officeDocument/2006/relationships/hyperlink" Target="https://library.municode.com/tn/metro_government_of_nashville_and_davidson_county/codes/code_of_ordinances?nodeId=CD_TIT8AN_CH8.04DO" TargetMode="External"/><Relationship Id="rId4" Type="http://schemas.openxmlformats.org/officeDocument/2006/relationships/numbering" Target="numbering.xml"/><Relationship Id="rId9" Type="http://schemas.openxmlformats.org/officeDocument/2006/relationships/hyperlink" Target="https://www.akc.org/clubs-delegates/government-relations/government-relations-blogs/akc-adopts-new-position-statement-tether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39842D26CEAC349AB21EBD5E17E5CBB" ma:contentTypeVersion="11" ma:contentTypeDescription="Create a new document." ma:contentTypeScope="" ma:versionID="36a18b6b8586103995f8e5480bb1bea3">
  <xsd:schema xmlns:xsd="http://www.w3.org/2001/XMLSchema" xmlns:xs="http://www.w3.org/2001/XMLSchema" xmlns:p="http://schemas.microsoft.com/office/2006/metadata/properties" xmlns:ns3="9898a6ec-a4a3-482f-8685-86819c01c538" targetNamespace="http://schemas.microsoft.com/office/2006/metadata/properties" ma:root="true" ma:fieldsID="66c22a157a10a2864a5adf8365c88cbb" ns3:_="">
    <xsd:import namespace="9898a6ec-a4a3-482f-8685-86819c01c53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98a6ec-a4a3-482f-8685-86819c01c5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EF2D4F-6171-4DB5-8BB3-1D1F375E84E7}">
  <ds:schemaRefs>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 ds:uri="http://purl.org/dc/terms/"/>
    <ds:schemaRef ds:uri="9898a6ec-a4a3-482f-8685-86819c01c538"/>
    <ds:schemaRef ds:uri="http://purl.org/dc/dcmitype/"/>
  </ds:schemaRefs>
</ds:datastoreItem>
</file>

<file path=customXml/itemProps2.xml><?xml version="1.0" encoding="utf-8"?>
<ds:datastoreItem xmlns:ds="http://schemas.openxmlformats.org/officeDocument/2006/customXml" ds:itemID="{C53567F7-4D3C-497E-B5EF-93B3BC3D6128}">
  <ds:schemaRefs>
    <ds:schemaRef ds:uri="http://schemas.microsoft.com/sharepoint/v3/contenttype/forms"/>
  </ds:schemaRefs>
</ds:datastoreItem>
</file>

<file path=customXml/itemProps3.xml><?xml version="1.0" encoding="utf-8"?>
<ds:datastoreItem xmlns:ds="http://schemas.openxmlformats.org/officeDocument/2006/customXml" ds:itemID="{9C6D47C4-951A-4458-A200-214ED2B48D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98a6ec-a4a3-482f-8685-86819c01c5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1085</Words>
  <Characters>6187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Young Williams</Company>
  <LinksUpToDate>false</LinksUpToDate>
  <CharactersWithSpaces>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Testerman</dc:creator>
  <cp:keywords/>
  <dc:description/>
  <cp:lastModifiedBy>Janet Testerman</cp:lastModifiedBy>
  <cp:revision>5</cp:revision>
  <cp:lastPrinted>2023-01-03T21:41:00Z</cp:lastPrinted>
  <dcterms:created xsi:type="dcterms:W3CDTF">2022-09-30T17:33:00Z</dcterms:created>
  <dcterms:modified xsi:type="dcterms:W3CDTF">2023-01-03T21:42:00Z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0x010100939842D26CEAC349AB21EBD5E17E5CBB</vt:lpwstr>
  </property>
</Properties>
</file>